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D99A" w14:textId="77777777" w:rsidR="00F60078" w:rsidRDefault="00F60078" w:rsidP="00F60078">
      <w:pPr>
        <w:pStyle w:val="Title"/>
        <w:jc w:val="center"/>
        <w:rPr>
          <w:rFonts w:ascii="Gill Sans Nova" w:eastAsia="Raleway" w:hAnsi="Gill Sans Nova" w:cs="Raleway"/>
        </w:rPr>
      </w:pPr>
      <w:r>
        <w:rPr>
          <w:rFonts w:ascii="Gill Sans Nova" w:eastAsia="Raleway" w:hAnsi="Gill Sans Nova" w:cs="Raleway"/>
        </w:rPr>
        <w:t>Privacy</w:t>
      </w:r>
      <w:r w:rsidRPr="00110A4C">
        <w:rPr>
          <w:rFonts w:ascii="Gill Sans Nova" w:eastAsia="Raleway" w:hAnsi="Gill Sans Nova" w:cs="Raleway"/>
        </w:rPr>
        <w:t xml:space="preserve"> Law</w:t>
      </w:r>
      <w:r>
        <w:rPr>
          <w:rFonts w:ascii="Gill Sans Nova" w:eastAsia="Raleway" w:hAnsi="Gill Sans Nova" w:cs="Raleway"/>
        </w:rPr>
        <w:t>: Cases and Materials</w:t>
      </w:r>
    </w:p>
    <w:p w14:paraId="0B1A7F30" w14:textId="77777777" w:rsidR="00F60078" w:rsidRPr="00110A4C" w:rsidRDefault="00F60078" w:rsidP="00F60078">
      <w:pPr>
        <w:jc w:val="center"/>
        <w:rPr>
          <w:rFonts w:ascii="Gill Sans Nova" w:eastAsia="Raleway" w:hAnsi="Gill Sans Nova" w:cs="Raleway"/>
          <w:sz w:val="26"/>
          <w:szCs w:val="26"/>
        </w:rPr>
      </w:pPr>
      <w:r>
        <w:rPr>
          <w:rFonts w:ascii="Gill Sans Nova" w:eastAsia="Raleway" w:hAnsi="Gill Sans Nova" w:cs="Raleway"/>
          <w:sz w:val="28"/>
          <w:szCs w:val="28"/>
        </w:rPr>
        <w:t>Matthew B. Kugler</w:t>
      </w:r>
    </w:p>
    <w:p w14:paraId="06AFB10F" w14:textId="5C016A8B" w:rsidR="00F60078" w:rsidRDefault="00F60078" w:rsidP="00F60078">
      <w:r>
        <w:t xml:space="preserve">Overview of changes in the </w:t>
      </w:r>
      <w:r w:rsidR="00017493">
        <w:t>S</w:t>
      </w:r>
      <w:r>
        <w:t xml:space="preserve">econd </w:t>
      </w:r>
      <w:r w:rsidR="00017493">
        <w:t>E</w:t>
      </w:r>
      <w:r>
        <w:t>dition (major changes bolded):</w:t>
      </w:r>
    </w:p>
    <w:p w14:paraId="5726CD58" w14:textId="61DCF750" w:rsidR="002F2FD4" w:rsidRPr="00F60078" w:rsidRDefault="00461EBC" w:rsidP="00461EBC">
      <w:pPr>
        <w:pStyle w:val="ListParagraph"/>
        <w:numPr>
          <w:ilvl w:val="0"/>
          <w:numId w:val="1"/>
        </w:numPr>
        <w:rPr>
          <w:b/>
          <w:bCs/>
        </w:rPr>
      </w:pPr>
      <w:r w:rsidRPr="00F60078">
        <w:rPr>
          <w:b/>
          <w:bCs/>
        </w:rPr>
        <w:t xml:space="preserve">Added </w:t>
      </w:r>
      <w:r w:rsidR="008A252D">
        <w:rPr>
          <w:b/>
          <w:bCs/>
        </w:rPr>
        <w:t xml:space="preserve">a </w:t>
      </w:r>
      <w:r w:rsidRPr="00F60078">
        <w:rPr>
          <w:b/>
          <w:bCs/>
        </w:rPr>
        <w:t>discussion of the Take it Down Act in Chapter 2</w:t>
      </w:r>
      <w:r w:rsidR="00F60078">
        <w:rPr>
          <w:b/>
          <w:bCs/>
        </w:rPr>
        <w:t>.</w:t>
      </w:r>
    </w:p>
    <w:p w14:paraId="0CDC1852" w14:textId="6BE67649" w:rsidR="00461EBC" w:rsidRDefault="00461EBC" w:rsidP="00461EBC">
      <w:pPr>
        <w:pStyle w:val="ListParagraph"/>
        <w:numPr>
          <w:ilvl w:val="0"/>
          <w:numId w:val="1"/>
        </w:numPr>
      </w:pPr>
      <w:r>
        <w:t>Added a note on actual privacy expectations following the Jones case in Chapter 3.</w:t>
      </w:r>
    </w:p>
    <w:p w14:paraId="1F87F3F0" w14:textId="0BCDDDDB" w:rsidR="00461EBC" w:rsidRDefault="00461EBC" w:rsidP="00461EBC">
      <w:pPr>
        <w:pStyle w:val="ListParagraph"/>
        <w:numPr>
          <w:ilvl w:val="0"/>
          <w:numId w:val="1"/>
        </w:numPr>
      </w:pPr>
      <w:r>
        <w:t xml:space="preserve">Added a lengthy note on </w:t>
      </w:r>
      <w:r w:rsidRPr="008F1198">
        <w:rPr>
          <w:i/>
        </w:rPr>
        <w:t>United States v. Hasbajrami</w:t>
      </w:r>
      <w:r>
        <w:t xml:space="preserve">, 2025 WL 447498 (E.D.N.Y. Dec. 2, 2024) at the end of </w:t>
      </w:r>
      <w:r w:rsidR="0065338B">
        <w:t>C</w:t>
      </w:r>
      <w:r>
        <w:t>hapter 4.</w:t>
      </w:r>
    </w:p>
    <w:p w14:paraId="7DA3CEDF" w14:textId="2A081C13" w:rsidR="00461EBC" w:rsidRDefault="00461EBC" w:rsidP="00461EBC">
      <w:pPr>
        <w:pStyle w:val="ListParagraph"/>
        <w:numPr>
          <w:ilvl w:val="0"/>
          <w:numId w:val="1"/>
        </w:numPr>
      </w:pPr>
      <w:r>
        <w:t>Added a note on Paul v. Davis following Reporter’s Committee in Chapter 6.</w:t>
      </w:r>
    </w:p>
    <w:p w14:paraId="5AE9259B" w14:textId="01BE6971" w:rsidR="00461EBC" w:rsidRDefault="00461EBC" w:rsidP="00461EBC">
      <w:pPr>
        <w:pStyle w:val="ListParagraph"/>
        <w:numPr>
          <w:ilvl w:val="0"/>
          <w:numId w:val="1"/>
        </w:numPr>
      </w:pPr>
      <w:r>
        <w:t xml:space="preserve">Shortened </w:t>
      </w:r>
      <w:r w:rsidRPr="00200656">
        <w:t>Dinh Tran v. Department of Treasury, 351 F.Supp.3d 130 (D</w:t>
      </w:r>
      <w:r>
        <w:t>.D</w:t>
      </w:r>
      <w:r w:rsidRPr="00200656">
        <w:t>.C. 2019</w:t>
      </w:r>
      <w:r>
        <w:t>) somewhat.</w:t>
      </w:r>
    </w:p>
    <w:p w14:paraId="2A146477" w14:textId="1017956C" w:rsidR="00461EBC" w:rsidRDefault="00461EBC" w:rsidP="00461EBC">
      <w:pPr>
        <w:pStyle w:val="ListParagraph"/>
        <w:numPr>
          <w:ilvl w:val="0"/>
          <w:numId w:val="1"/>
        </w:numPr>
      </w:pPr>
      <w:r>
        <w:t>Added a note on reidentification of HIPAA data in Chapter 7.</w:t>
      </w:r>
    </w:p>
    <w:p w14:paraId="758BE537" w14:textId="337AEFD8" w:rsidR="00461EBC" w:rsidRDefault="00461EBC" w:rsidP="00461EBC">
      <w:pPr>
        <w:pStyle w:val="ListParagraph"/>
        <w:numPr>
          <w:ilvl w:val="0"/>
          <w:numId w:val="1"/>
        </w:numPr>
      </w:pPr>
      <w:r>
        <w:t>Added a note on the use of My Health My Data in privacy class actions in Chapter 7.</w:t>
      </w:r>
    </w:p>
    <w:p w14:paraId="2F6A0BE6" w14:textId="5CCB66F5" w:rsidR="00461EBC" w:rsidRDefault="00461EBC" w:rsidP="00461EBC">
      <w:pPr>
        <w:pStyle w:val="ListParagraph"/>
        <w:numPr>
          <w:ilvl w:val="0"/>
          <w:numId w:val="1"/>
        </w:numPr>
      </w:pPr>
      <w:r>
        <w:t>Expanded the definition of “financial institutions” under GLBA in Chapter 8.</w:t>
      </w:r>
    </w:p>
    <w:p w14:paraId="7A0519D1" w14:textId="52F3C071" w:rsidR="00461EBC" w:rsidRDefault="00461EBC" w:rsidP="00461EBC">
      <w:pPr>
        <w:pStyle w:val="ListParagraph"/>
        <w:numPr>
          <w:ilvl w:val="0"/>
          <w:numId w:val="1"/>
        </w:numPr>
      </w:pPr>
      <w:r>
        <w:t xml:space="preserve">Added a note reviewing an empirical paper on the effects of </w:t>
      </w:r>
      <w:r w:rsidRPr="0065338B">
        <w:rPr>
          <w:i/>
          <w:iCs/>
        </w:rPr>
        <w:t>TransUnion</w:t>
      </w:r>
      <w:r>
        <w:t xml:space="preserve"> in Chapter 8.</w:t>
      </w:r>
    </w:p>
    <w:p w14:paraId="3A4A9C8A" w14:textId="7AFAF0FB" w:rsidR="00461EBC" w:rsidRDefault="00461EBC" w:rsidP="00461EBC">
      <w:pPr>
        <w:pStyle w:val="ListParagraph"/>
        <w:numPr>
          <w:ilvl w:val="0"/>
          <w:numId w:val="1"/>
        </w:numPr>
      </w:pPr>
      <w:r>
        <w:t>Added details of the Epic Games settlement in Chapter 9.</w:t>
      </w:r>
    </w:p>
    <w:p w14:paraId="60C12F32" w14:textId="012CD7BC" w:rsidR="00461EBC" w:rsidRDefault="00461EBC" w:rsidP="00461EBC">
      <w:pPr>
        <w:pStyle w:val="ListParagraph"/>
        <w:numPr>
          <w:ilvl w:val="0"/>
          <w:numId w:val="1"/>
        </w:numPr>
      </w:pPr>
      <w:r>
        <w:t>Added a note with the</w:t>
      </w:r>
      <w:r w:rsidR="008A252D">
        <w:t xml:space="preserve"> holding of</w:t>
      </w:r>
      <w:r>
        <w:t xml:space="preserve"> </w:t>
      </w:r>
      <w:r w:rsidRPr="00760C5D">
        <w:rPr>
          <w:i/>
          <w:iCs/>
        </w:rPr>
        <w:t>Free Speech Coal., Inc. v. Paxton</w:t>
      </w:r>
      <w:r w:rsidRPr="00760C5D">
        <w:t xml:space="preserve"> </w:t>
      </w:r>
      <w:r>
        <w:t>to Chapter 9.</w:t>
      </w:r>
    </w:p>
    <w:p w14:paraId="3F055180" w14:textId="0A6D7BF1" w:rsidR="00461EBC" w:rsidRDefault="00461EBC" w:rsidP="00461EBC">
      <w:pPr>
        <w:pStyle w:val="ListParagraph"/>
        <w:numPr>
          <w:ilvl w:val="0"/>
          <w:numId w:val="1"/>
        </w:numPr>
      </w:pPr>
      <w:r>
        <w:t>Added a note on device identifiers under the VPPA in Chapter 9.</w:t>
      </w:r>
    </w:p>
    <w:p w14:paraId="25946725" w14:textId="6577C763" w:rsidR="00461EBC" w:rsidRPr="00F60078" w:rsidRDefault="00461EBC" w:rsidP="00461EBC">
      <w:pPr>
        <w:pStyle w:val="ListParagraph"/>
        <w:numPr>
          <w:ilvl w:val="0"/>
          <w:numId w:val="1"/>
        </w:numPr>
        <w:rPr>
          <w:b/>
          <w:bCs/>
          <w:lang w:val="en"/>
        </w:rPr>
      </w:pPr>
      <w:r w:rsidRPr="00F60078">
        <w:rPr>
          <w:b/>
          <w:bCs/>
        </w:rPr>
        <w:t xml:space="preserve">Added </w:t>
      </w:r>
      <w:bookmarkStart w:id="0" w:name="_Toc201955437"/>
      <w:bookmarkStart w:id="1" w:name="_Toc202087935"/>
      <w:r w:rsidRPr="00F60078">
        <w:rPr>
          <w:b/>
          <w:bCs/>
          <w:i/>
          <w:iCs/>
          <w:lang w:val="en"/>
        </w:rPr>
        <w:t>Gardner v. Me-TV National Limited Partnership, 132 F.4th 1022 (7th Cir. 2025)</w:t>
      </w:r>
      <w:bookmarkEnd w:id="0"/>
      <w:bookmarkEnd w:id="1"/>
      <w:r w:rsidRPr="00F60078">
        <w:rPr>
          <w:b/>
          <w:bCs/>
          <w:lang w:val="en"/>
        </w:rPr>
        <w:t xml:space="preserve"> as a VPPA case in Chapter 9.</w:t>
      </w:r>
    </w:p>
    <w:p w14:paraId="4D787CDF" w14:textId="77777777" w:rsidR="00F60078" w:rsidRDefault="00F60078" w:rsidP="00F60078">
      <w:pPr>
        <w:pStyle w:val="ListParagraph"/>
        <w:numPr>
          <w:ilvl w:val="0"/>
          <w:numId w:val="1"/>
        </w:numPr>
      </w:pPr>
      <w:r>
        <w:t>Added a discussion of GPC to the CCPA section in Chapter 9.</w:t>
      </w:r>
    </w:p>
    <w:p w14:paraId="27D90112" w14:textId="01C63EC5" w:rsidR="00461EBC" w:rsidRPr="00F60078" w:rsidRDefault="00F60078" w:rsidP="00461EBC">
      <w:pPr>
        <w:pStyle w:val="ListParagraph"/>
        <w:numPr>
          <w:ilvl w:val="0"/>
          <w:numId w:val="1"/>
        </w:numPr>
        <w:rPr>
          <w:b/>
          <w:bCs/>
          <w:lang w:val="en"/>
        </w:rPr>
      </w:pPr>
      <w:r w:rsidRPr="00F60078">
        <w:rPr>
          <w:b/>
          <w:bCs/>
          <w:lang w:val="en"/>
        </w:rPr>
        <w:t xml:space="preserve">Removed Doordash as a CCPA case in Chapter 9. </w:t>
      </w:r>
    </w:p>
    <w:p w14:paraId="02274EA5" w14:textId="493ADA65" w:rsidR="00461EBC" w:rsidRPr="00F60078" w:rsidRDefault="00F60078" w:rsidP="00461EBC">
      <w:pPr>
        <w:pStyle w:val="ListParagraph"/>
        <w:numPr>
          <w:ilvl w:val="0"/>
          <w:numId w:val="1"/>
        </w:numPr>
        <w:rPr>
          <w:b/>
          <w:bCs/>
        </w:rPr>
      </w:pPr>
      <w:r w:rsidRPr="00F60078">
        <w:rPr>
          <w:b/>
          <w:bCs/>
        </w:rPr>
        <w:t xml:space="preserve">Added </w:t>
      </w:r>
      <w:r w:rsidRPr="00F60078">
        <w:rPr>
          <w:b/>
          <w:bCs/>
          <w:i/>
          <w:iCs/>
        </w:rPr>
        <w:t>In the Matter of American Honda Motor</w:t>
      </w:r>
      <w:r w:rsidRPr="00F60078">
        <w:rPr>
          <w:b/>
          <w:bCs/>
        </w:rPr>
        <w:t>, California Privacy Protection Agency Board (Mar. 7, 2025) as a CCPA case in Chapter 9.</w:t>
      </w:r>
    </w:p>
    <w:p w14:paraId="33456FCE" w14:textId="2E74CD94" w:rsidR="00F60078" w:rsidRPr="00F60078" w:rsidRDefault="00F60078" w:rsidP="00461EBC">
      <w:pPr>
        <w:pStyle w:val="ListParagraph"/>
        <w:numPr>
          <w:ilvl w:val="0"/>
          <w:numId w:val="1"/>
        </w:numPr>
        <w:rPr>
          <w:b/>
          <w:bCs/>
        </w:rPr>
      </w:pPr>
      <w:r w:rsidRPr="00F60078">
        <w:rPr>
          <w:b/>
          <w:bCs/>
        </w:rPr>
        <w:t>Added a discussion of dark patterns to the CCPA section in Chapter 9.</w:t>
      </w:r>
    </w:p>
    <w:p w14:paraId="51FF6255" w14:textId="225D0563" w:rsidR="00F60078" w:rsidRDefault="00F60078">
      <w:pPr>
        <w:pStyle w:val="ListParagraph"/>
        <w:numPr>
          <w:ilvl w:val="0"/>
          <w:numId w:val="1"/>
        </w:numPr>
        <w:rPr>
          <w:b/>
          <w:bCs/>
        </w:rPr>
      </w:pPr>
      <w:r w:rsidRPr="00F60078">
        <w:rPr>
          <w:b/>
          <w:bCs/>
        </w:rPr>
        <w:t>Added a discussion of the California Delete Act to Chapter 9.</w:t>
      </w:r>
    </w:p>
    <w:p w14:paraId="6D4F31FA" w14:textId="4DF115C1" w:rsidR="008A252D" w:rsidRPr="008A252D" w:rsidRDefault="008A252D">
      <w:pPr>
        <w:pStyle w:val="ListParagraph"/>
        <w:numPr>
          <w:ilvl w:val="0"/>
          <w:numId w:val="1"/>
        </w:numPr>
      </w:pPr>
      <w:r w:rsidRPr="008A252D">
        <w:t>Updated the Connecticut privacy law excerpts to reflect the June 2025 amendments.</w:t>
      </w:r>
    </w:p>
    <w:p w14:paraId="6F1A081B" w14:textId="4998B0AB" w:rsidR="00F60078" w:rsidRDefault="00F60078">
      <w:pPr>
        <w:pStyle w:val="ListParagraph"/>
        <w:numPr>
          <w:ilvl w:val="0"/>
          <w:numId w:val="1"/>
        </w:numPr>
      </w:pPr>
      <w:r>
        <w:t>Fixed paragraph numbering in the Von Hannover case in Chapter 12.</w:t>
      </w:r>
    </w:p>
    <w:p w14:paraId="34745110" w14:textId="3487D852" w:rsidR="00017493" w:rsidRDefault="00017493" w:rsidP="00017493">
      <w:r>
        <w:t xml:space="preserve">In short, this </w:t>
      </w:r>
      <w:r>
        <w:t xml:space="preserve">edition </w:t>
      </w:r>
      <w:r>
        <w:t>is mostly California’s fault</w:t>
      </w:r>
      <w:r>
        <w:t>. But I’m grateful for the chance to clean up the small stuff.</w:t>
      </w:r>
    </w:p>
    <w:p w14:paraId="35D6829A" w14:textId="5A8283A6" w:rsidR="00017493" w:rsidRDefault="00F60078">
      <w:r>
        <w:t>Various wording and typographical changes were made throughout. Also line spacing was adjusted, which had the effect of substantially shortening the document.</w:t>
      </w:r>
    </w:p>
    <w:sectPr w:rsidR="00017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0864" w14:textId="77777777" w:rsidR="006739FB" w:rsidRDefault="006739FB" w:rsidP="00F60078">
      <w:pPr>
        <w:spacing w:after="0" w:line="240" w:lineRule="auto"/>
      </w:pPr>
      <w:r>
        <w:separator/>
      </w:r>
    </w:p>
  </w:endnote>
  <w:endnote w:type="continuationSeparator" w:id="0">
    <w:p w14:paraId="0D6F39C7" w14:textId="77777777" w:rsidR="006739FB" w:rsidRDefault="006739FB" w:rsidP="00F6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026E" w14:textId="77777777" w:rsidR="006739FB" w:rsidRDefault="006739FB" w:rsidP="00F60078">
      <w:pPr>
        <w:spacing w:after="0" w:line="240" w:lineRule="auto"/>
      </w:pPr>
      <w:r>
        <w:separator/>
      </w:r>
    </w:p>
  </w:footnote>
  <w:footnote w:type="continuationSeparator" w:id="0">
    <w:p w14:paraId="23F0EC7B" w14:textId="77777777" w:rsidR="006739FB" w:rsidRDefault="006739FB" w:rsidP="00F60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23FBB"/>
    <w:multiLevelType w:val="hybridMultilevel"/>
    <w:tmpl w:val="7AA0E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0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DA"/>
    <w:rsid w:val="00017493"/>
    <w:rsid w:val="001F1B68"/>
    <w:rsid w:val="00273B2C"/>
    <w:rsid w:val="002F2FD4"/>
    <w:rsid w:val="00461EBC"/>
    <w:rsid w:val="0065338B"/>
    <w:rsid w:val="006739FB"/>
    <w:rsid w:val="007873F9"/>
    <w:rsid w:val="008A252D"/>
    <w:rsid w:val="008C52A9"/>
    <w:rsid w:val="00A057DA"/>
    <w:rsid w:val="00B8440A"/>
    <w:rsid w:val="00D62B03"/>
    <w:rsid w:val="00F60078"/>
    <w:rsid w:val="00F7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0FCD"/>
  <w15:chartTrackingRefBased/>
  <w15:docId w15:val="{61F2D343-AD55-47FE-A8B8-67F1336C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7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0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78"/>
  </w:style>
  <w:style w:type="paragraph" w:styleId="Footer">
    <w:name w:val="footer"/>
    <w:basedOn w:val="Normal"/>
    <w:link w:val="FooterChar"/>
    <w:uiPriority w:val="99"/>
    <w:unhideWhenUsed/>
    <w:rsid w:val="00F60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B. Kugler</dc:creator>
  <cp:keywords/>
  <dc:description/>
  <cp:lastModifiedBy>Matthew B. Kugler</cp:lastModifiedBy>
  <cp:revision>4</cp:revision>
  <dcterms:created xsi:type="dcterms:W3CDTF">2025-06-29T17:49:00Z</dcterms:created>
  <dcterms:modified xsi:type="dcterms:W3CDTF">2025-07-01T19:54:00Z</dcterms:modified>
</cp:coreProperties>
</file>